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0279F" w14:textId="77777777" w:rsidR="00D94D2A" w:rsidRDefault="00D94D2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32ED171" w14:textId="719F32B2" w:rsidR="006D7105" w:rsidRDefault="00385A4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80768" behindDoc="0" locked="0" layoutInCell="1" allowOverlap="1" wp14:anchorId="357B479A" wp14:editId="70FE1693">
            <wp:simplePos x="0" y="0"/>
            <wp:positionH relativeFrom="column">
              <wp:posOffset>4594225</wp:posOffset>
            </wp:positionH>
            <wp:positionV relativeFrom="paragraph">
              <wp:posOffset>8255</wp:posOffset>
            </wp:positionV>
            <wp:extent cx="1163320" cy="1045210"/>
            <wp:effectExtent l="0" t="0" r="0" b="2540"/>
            <wp:wrapNone/>
            <wp:docPr id="2" name="Изображение 2" descr="лого Норникел ЕР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лого Норникел ЕРП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25D5BB" w14:textId="77777777" w:rsidR="006D7105" w:rsidRDefault="006D710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4856689" w14:textId="77777777" w:rsidR="006D7105" w:rsidRDefault="006D710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CBB7C6C" w14:textId="77777777" w:rsidR="006D7105" w:rsidRDefault="006D710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0D215A9" w14:textId="77777777" w:rsidR="006D7105" w:rsidRDefault="006D710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18F9CBA" w14:textId="77777777" w:rsidR="00CB0681" w:rsidRDefault="00CB0681" w:rsidP="00CB0681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p w14:paraId="7D7C4B42" w14:textId="77777777" w:rsidR="00CB0681" w:rsidRDefault="00CB0681" w:rsidP="00CB0681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p w14:paraId="24600BF4" w14:textId="77777777" w:rsidR="00CB0681" w:rsidRDefault="00CB06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3B76117" w14:textId="77777777" w:rsidR="00CB0681" w:rsidRDefault="00CB06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5695DC52" w14:textId="77777777" w:rsidR="006D7105" w:rsidRDefault="00385A4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ПРИКАЗ</w:t>
      </w:r>
    </w:p>
    <w:p w14:paraId="4E320D28" w14:textId="77777777" w:rsidR="006D7105" w:rsidRDefault="006D7105">
      <w:pPr>
        <w:spacing w:after="12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51B1289" w14:textId="4E63AF4D" w:rsidR="00B73673" w:rsidRPr="00B73673" w:rsidRDefault="00937E22" w:rsidP="00937E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ahoma" w:hAnsi="Tahoma" w:cs="Tahoma"/>
          <w:sz w:val="24"/>
          <w:szCs w:val="24"/>
        </w:rPr>
        <w:t xml:space="preserve">24 </w:t>
      </w:r>
      <w:r w:rsidR="00C021A7">
        <w:rPr>
          <w:rFonts w:ascii="Tahoma" w:hAnsi="Tahoma" w:cs="Tahoma"/>
          <w:sz w:val="24"/>
          <w:szCs w:val="24"/>
        </w:rPr>
        <w:t>июля</w:t>
      </w:r>
      <w:r w:rsidR="00B27A20">
        <w:rPr>
          <w:rFonts w:ascii="Tahoma" w:hAnsi="Tahoma" w:cs="Tahoma"/>
          <w:sz w:val="24"/>
          <w:szCs w:val="24"/>
        </w:rPr>
        <w:t xml:space="preserve"> </w:t>
      </w:r>
      <w:r w:rsidR="006F28ED">
        <w:rPr>
          <w:rFonts w:ascii="Tahoma" w:hAnsi="Tahoma" w:cs="Tahoma"/>
          <w:sz w:val="24"/>
          <w:szCs w:val="24"/>
        </w:rPr>
        <w:t>20</w:t>
      </w:r>
      <w:r w:rsidR="00DB12C9">
        <w:rPr>
          <w:rFonts w:ascii="Tahoma" w:hAnsi="Tahoma" w:cs="Tahoma"/>
          <w:sz w:val="24"/>
          <w:szCs w:val="24"/>
        </w:rPr>
        <w:t>2</w:t>
      </w:r>
      <w:r w:rsidR="00C021A7">
        <w:rPr>
          <w:rFonts w:ascii="Tahoma" w:hAnsi="Tahoma" w:cs="Tahoma"/>
          <w:sz w:val="24"/>
          <w:szCs w:val="24"/>
        </w:rPr>
        <w:t>3</w:t>
      </w:r>
      <w:r w:rsidR="00B27A20">
        <w:rPr>
          <w:rFonts w:ascii="Tahoma" w:hAnsi="Tahoma" w:cs="Tahoma"/>
          <w:sz w:val="24"/>
          <w:szCs w:val="24"/>
        </w:rPr>
        <w:t xml:space="preserve"> </w:t>
      </w:r>
      <w:r w:rsidR="00385A4F">
        <w:rPr>
          <w:rFonts w:ascii="Tahoma" w:hAnsi="Tahoma" w:cs="Tahoma"/>
          <w:sz w:val="24"/>
          <w:szCs w:val="24"/>
        </w:rPr>
        <w:t>г.</w:t>
      </w:r>
      <w:r w:rsidR="00385A4F">
        <w:rPr>
          <w:rFonts w:ascii="Tahoma" w:hAnsi="Tahoma" w:cs="Tahoma"/>
          <w:sz w:val="24"/>
          <w:szCs w:val="24"/>
        </w:rPr>
        <w:tab/>
      </w:r>
      <w:r w:rsidR="00385A4F">
        <w:rPr>
          <w:rFonts w:ascii="Tahoma" w:hAnsi="Tahoma" w:cs="Tahoma"/>
          <w:sz w:val="24"/>
          <w:szCs w:val="24"/>
        </w:rPr>
        <w:tab/>
      </w:r>
      <w:r w:rsidR="00385A4F">
        <w:rPr>
          <w:rFonts w:ascii="Tahoma" w:hAnsi="Tahoma" w:cs="Tahoma"/>
          <w:sz w:val="24"/>
          <w:szCs w:val="24"/>
        </w:rPr>
        <w:tab/>
      </w:r>
      <w:r w:rsidR="00385A4F">
        <w:rPr>
          <w:rFonts w:ascii="Tahoma" w:hAnsi="Tahoma" w:cs="Tahoma"/>
          <w:sz w:val="24"/>
          <w:szCs w:val="24"/>
        </w:rPr>
        <w:tab/>
      </w:r>
      <w:r w:rsidR="00385A4F">
        <w:rPr>
          <w:rFonts w:ascii="Tahoma" w:hAnsi="Tahoma" w:cs="Tahoma"/>
          <w:sz w:val="24"/>
          <w:szCs w:val="24"/>
        </w:rPr>
        <w:tab/>
      </w:r>
      <w:r w:rsidR="0037513D">
        <w:rPr>
          <w:rFonts w:ascii="Tahoma" w:hAnsi="Tahoma" w:cs="Tahoma"/>
          <w:sz w:val="24"/>
          <w:szCs w:val="24"/>
        </w:rPr>
        <w:tab/>
      </w:r>
      <w:r w:rsidR="00385A4F">
        <w:rPr>
          <w:rFonts w:ascii="Tahoma" w:hAnsi="Tahoma" w:cs="Tahoma"/>
          <w:sz w:val="24"/>
          <w:szCs w:val="24"/>
        </w:rPr>
        <w:tab/>
        <w:t xml:space="preserve"> </w:t>
      </w:r>
      <w:r w:rsidR="00CE2889">
        <w:rPr>
          <w:rFonts w:ascii="Tahoma" w:hAnsi="Tahoma" w:cs="Tahoma"/>
          <w:sz w:val="24"/>
          <w:szCs w:val="24"/>
        </w:rPr>
        <w:t xml:space="preserve">  </w:t>
      </w:r>
      <w:r w:rsidR="0037513D">
        <w:rPr>
          <w:rFonts w:ascii="Tahoma" w:hAnsi="Tahoma" w:cs="Tahoma"/>
          <w:sz w:val="24"/>
          <w:szCs w:val="24"/>
        </w:rPr>
        <w:t xml:space="preserve">   </w:t>
      </w:r>
      <w:r w:rsidR="00CE2889">
        <w:rPr>
          <w:rFonts w:ascii="Tahoma" w:hAnsi="Tahoma" w:cs="Tahoma"/>
          <w:sz w:val="24"/>
          <w:szCs w:val="24"/>
        </w:rPr>
        <w:t xml:space="preserve">  № </w:t>
      </w:r>
      <w:r w:rsidRPr="00937E22">
        <w:rPr>
          <w:rFonts w:ascii="Tahoma" w:hAnsi="Tahoma" w:cs="Tahoma"/>
          <w:sz w:val="24"/>
          <w:szCs w:val="24"/>
        </w:rPr>
        <w:t>НН-ЕРП/148-п</w:t>
      </w:r>
    </w:p>
    <w:p w14:paraId="1EEAF71A" w14:textId="326818EE" w:rsidR="003D6977" w:rsidRPr="00ED7927" w:rsidRDefault="003D6977" w:rsidP="001347A6">
      <w:pPr>
        <w:tabs>
          <w:tab w:val="left" w:pos="7740"/>
        </w:tabs>
        <w:spacing w:after="0" w:line="240" w:lineRule="auto"/>
        <w:ind w:right="4281"/>
        <w:rPr>
          <w:rFonts w:ascii="Tahoma" w:hAnsi="Tahoma" w:cs="Tahoma"/>
          <w:b/>
          <w:sz w:val="24"/>
          <w:szCs w:val="24"/>
        </w:rPr>
      </w:pPr>
      <w:r w:rsidRPr="00ED7927">
        <w:rPr>
          <w:rFonts w:ascii="Tahoma" w:hAnsi="Tahoma" w:cs="Tahoma"/>
          <w:b/>
          <w:sz w:val="24"/>
          <w:szCs w:val="24"/>
        </w:rPr>
        <w:t xml:space="preserve">О введении в действие </w:t>
      </w:r>
      <w:r w:rsidR="00C21DFE">
        <w:rPr>
          <w:rFonts w:ascii="Tahoma" w:hAnsi="Tahoma" w:cs="Tahoma"/>
          <w:b/>
          <w:sz w:val="24"/>
          <w:szCs w:val="24"/>
        </w:rPr>
        <w:t xml:space="preserve">новой редакции </w:t>
      </w:r>
      <w:r w:rsidRPr="00ED7927">
        <w:rPr>
          <w:rFonts w:ascii="Tahoma" w:hAnsi="Tahoma" w:cs="Tahoma"/>
          <w:b/>
          <w:sz w:val="24"/>
          <w:szCs w:val="24"/>
        </w:rPr>
        <w:t>Пол</w:t>
      </w:r>
      <w:r>
        <w:rPr>
          <w:rFonts w:ascii="Tahoma" w:hAnsi="Tahoma" w:cs="Tahoma"/>
          <w:b/>
          <w:sz w:val="24"/>
          <w:szCs w:val="24"/>
        </w:rPr>
        <w:t>итики</w:t>
      </w:r>
      <w:r w:rsidR="008978B3">
        <w:rPr>
          <w:rFonts w:ascii="Tahoma" w:hAnsi="Tahoma" w:cs="Tahoma"/>
          <w:b/>
          <w:sz w:val="24"/>
          <w:szCs w:val="24"/>
        </w:rPr>
        <w:t xml:space="preserve"> в области охраны </w:t>
      </w:r>
      <w:r w:rsidR="00444BB8">
        <w:rPr>
          <w:rFonts w:ascii="Tahoma" w:hAnsi="Tahoma" w:cs="Tahoma"/>
          <w:b/>
          <w:sz w:val="24"/>
          <w:szCs w:val="24"/>
        </w:rPr>
        <w:t>и промышленной безопасности</w:t>
      </w:r>
    </w:p>
    <w:p w14:paraId="37167018" w14:textId="77777777" w:rsidR="003D6977" w:rsidRPr="00ED7927" w:rsidRDefault="003D6977" w:rsidP="003D6977">
      <w:pPr>
        <w:tabs>
          <w:tab w:val="left" w:pos="7740"/>
        </w:tabs>
        <w:spacing w:after="0" w:line="240" w:lineRule="auto"/>
        <w:ind w:right="4281"/>
        <w:jc w:val="both"/>
        <w:rPr>
          <w:rFonts w:ascii="Tahoma" w:hAnsi="Tahoma" w:cs="Tahoma"/>
          <w:b/>
          <w:sz w:val="24"/>
          <w:szCs w:val="24"/>
        </w:rPr>
      </w:pPr>
    </w:p>
    <w:p w14:paraId="72D725C7" w14:textId="77777777" w:rsidR="003D6977" w:rsidRDefault="003D6977" w:rsidP="003D6977">
      <w:pPr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</w:rPr>
      </w:pPr>
    </w:p>
    <w:p w14:paraId="42D1340F" w14:textId="7753B011" w:rsidR="003D6977" w:rsidRPr="00D01385" w:rsidRDefault="003D6977" w:rsidP="00BB4418">
      <w:pPr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</w:rPr>
      </w:pPr>
      <w:r w:rsidRPr="00D01385">
        <w:rPr>
          <w:rFonts w:ascii="Tahoma" w:eastAsia="Calibri" w:hAnsi="Tahoma" w:cs="Tahoma"/>
          <w:sz w:val="24"/>
          <w:szCs w:val="24"/>
        </w:rPr>
        <w:t xml:space="preserve">В </w:t>
      </w:r>
      <w:r w:rsidR="009F38E0" w:rsidRPr="00D01385">
        <w:rPr>
          <w:rFonts w:ascii="Tahoma" w:eastAsia="Calibri" w:hAnsi="Tahoma" w:cs="Tahoma"/>
          <w:sz w:val="24"/>
          <w:szCs w:val="24"/>
        </w:rPr>
        <w:t>соответствии с требованиями ст.21</w:t>
      </w:r>
      <w:r w:rsidR="004274AB">
        <w:rPr>
          <w:rFonts w:ascii="Tahoma" w:eastAsia="Calibri" w:hAnsi="Tahoma" w:cs="Tahoma"/>
          <w:sz w:val="24"/>
          <w:szCs w:val="24"/>
        </w:rPr>
        <w:t>4</w:t>
      </w:r>
      <w:r w:rsidR="009F38E0" w:rsidRPr="00D01385">
        <w:rPr>
          <w:rFonts w:ascii="Tahoma" w:eastAsia="Calibri" w:hAnsi="Tahoma" w:cs="Tahoma"/>
          <w:sz w:val="24"/>
          <w:szCs w:val="24"/>
        </w:rPr>
        <w:t xml:space="preserve"> Трудового кодекса Российской Федерации, ГОСТ</w:t>
      </w:r>
      <w:r w:rsidR="00BB4418">
        <w:rPr>
          <w:rFonts w:ascii="Tahoma" w:eastAsia="Calibri" w:hAnsi="Tahoma" w:cs="Tahoma"/>
          <w:sz w:val="24"/>
          <w:szCs w:val="24"/>
        </w:rPr>
        <w:t xml:space="preserve"> Р</w:t>
      </w:r>
      <w:r w:rsidR="009F38E0" w:rsidRPr="00D01385">
        <w:rPr>
          <w:rFonts w:ascii="Tahoma" w:eastAsia="Calibri" w:hAnsi="Tahoma" w:cs="Tahoma"/>
          <w:sz w:val="24"/>
          <w:szCs w:val="24"/>
        </w:rPr>
        <w:t xml:space="preserve"> 12.0.007-2009 «Система стандартов безопасности труда. Система управления</w:t>
      </w:r>
      <w:r w:rsidR="003D0A45" w:rsidRPr="00D01385">
        <w:rPr>
          <w:rFonts w:ascii="Tahoma" w:eastAsia="Calibri" w:hAnsi="Tahoma" w:cs="Tahoma"/>
          <w:sz w:val="24"/>
          <w:szCs w:val="24"/>
        </w:rPr>
        <w:t xml:space="preserve"> охраной труда в организации. Общие </w:t>
      </w:r>
      <w:r w:rsidR="003170B2" w:rsidRPr="00D01385">
        <w:rPr>
          <w:rFonts w:ascii="Tahoma" w:eastAsia="Calibri" w:hAnsi="Tahoma" w:cs="Tahoma"/>
          <w:sz w:val="24"/>
          <w:szCs w:val="24"/>
        </w:rPr>
        <w:t>требования к</w:t>
      </w:r>
      <w:r w:rsidR="003D0A45" w:rsidRPr="00D01385">
        <w:rPr>
          <w:rFonts w:ascii="Tahoma" w:eastAsia="Calibri" w:hAnsi="Tahoma" w:cs="Tahoma"/>
          <w:sz w:val="24"/>
          <w:szCs w:val="24"/>
        </w:rPr>
        <w:t xml:space="preserve"> разработке, применению и совершенствованию»</w:t>
      </w:r>
      <w:r w:rsidR="00BB4418">
        <w:rPr>
          <w:rFonts w:ascii="Tahoma" w:eastAsia="Calibri" w:hAnsi="Tahoma" w:cs="Tahoma"/>
          <w:sz w:val="24"/>
          <w:szCs w:val="24"/>
        </w:rPr>
        <w:t>, утвержденн</w:t>
      </w:r>
      <w:r w:rsidR="004274AB">
        <w:rPr>
          <w:rFonts w:ascii="Tahoma" w:eastAsia="Calibri" w:hAnsi="Tahoma" w:cs="Tahoma"/>
          <w:sz w:val="24"/>
          <w:szCs w:val="24"/>
        </w:rPr>
        <w:t>ого</w:t>
      </w:r>
      <w:r w:rsidR="00BB4418">
        <w:rPr>
          <w:rFonts w:ascii="Tahoma" w:eastAsia="Calibri" w:hAnsi="Tahoma" w:cs="Tahoma"/>
          <w:sz w:val="24"/>
          <w:szCs w:val="24"/>
        </w:rPr>
        <w:t xml:space="preserve"> </w:t>
      </w:r>
      <w:r w:rsidR="004274AB">
        <w:rPr>
          <w:rFonts w:ascii="Tahoma" w:eastAsia="Calibri" w:hAnsi="Tahoma" w:cs="Tahoma"/>
          <w:sz w:val="24"/>
          <w:szCs w:val="24"/>
        </w:rPr>
        <w:t>п</w:t>
      </w:r>
      <w:r w:rsidR="00BB4418" w:rsidRPr="00352BCC">
        <w:rPr>
          <w:rFonts w:ascii="Tahoma" w:eastAsia="Calibri" w:hAnsi="Tahoma" w:cs="Tahoma"/>
          <w:sz w:val="24"/>
          <w:szCs w:val="24"/>
        </w:rPr>
        <w:t xml:space="preserve">риказом </w:t>
      </w:r>
      <w:proofErr w:type="spellStart"/>
      <w:r w:rsidR="00BB4418">
        <w:rPr>
          <w:rFonts w:ascii="Tahoma" w:eastAsia="Calibri" w:hAnsi="Tahoma" w:cs="Tahoma"/>
          <w:sz w:val="24"/>
          <w:szCs w:val="24"/>
        </w:rPr>
        <w:t>Р</w:t>
      </w:r>
      <w:r w:rsidR="00BB4418" w:rsidRPr="00352BCC">
        <w:rPr>
          <w:rFonts w:ascii="Tahoma" w:eastAsia="Calibri" w:hAnsi="Tahoma" w:cs="Tahoma"/>
          <w:sz w:val="24"/>
          <w:szCs w:val="24"/>
        </w:rPr>
        <w:t>остехрегулирования</w:t>
      </w:r>
      <w:proofErr w:type="spellEnd"/>
      <w:r w:rsidR="00BB4418" w:rsidRPr="00352BCC">
        <w:rPr>
          <w:rFonts w:ascii="Tahoma" w:eastAsia="Calibri" w:hAnsi="Tahoma" w:cs="Tahoma"/>
          <w:sz w:val="24"/>
          <w:szCs w:val="24"/>
        </w:rPr>
        <w:t xml:space="preserve"> от 21.04.2009 </w:t>
      </w:r>
      <w:r w:rsidR="00BB4418">
        <w:rPr>
          <w:rFonts w:ascii="Tahoma" w:eastAsia="Calibri" w:hAnsi="Tahoma" w:cs="Tahoma"/>
          <w:sz w:val="24"/>
          <w:szCs w:val="24"/>
        </w:rPr>
        <w:t>№ 138-ст</w:t>
      </w:r>
      <w:r w:rsidR="00F72BA1">
        <w:rPr>
          <w:rFonts w:ascii="Tahoma" w:eastAsia="Calibri" w:hAnsi="Tahoma" w:cs="Tahoma"/>
          <w:sz w:val="24"/>
          <w:szCs w:val="24"/>
        </w:rPr>
        <w:t>,</w:t>
      </w:r>
      <w:r w:rsidR="00BB4418">
        <w:rPr>
          <w:rFonts w:ascii="Tahoma" w:eastAsia="Calibri" w:hAnsi="Tahoma" w:cs="Tahoma"/>
          <w:sz w:val="24"/>
          <w:szCs w:val="24"/>
        </w:rPr>
        <w:t xml:space="preserve"> и </w:t>
      </w:r>
      <w:r w:rsidR="00D01385" w:rsidRPr="00D01385">
        <w:rPr>
          <w:rFonts w:ascii="Tahoma" w:eastAsia="Calibri" w:hAnsi="Tahoma" w:cs="Tahoma"/>
          <w:sz w:val="24"/>
          <w:szCs w:val="24"/>
        </w:rPr>
        <w:t xml:space="preserve">в </w:t>
      </w:r>
      <w:r w:rsidR="00D01385" w:rsidRPr="00D01385">
        <w:rPr>
          <w:rFonts w:ascii="Tahoma" w:eastAsia="Times New Roman" w:hAnsi="Tahoma" w:cs="Tahoma"/>
          <w:sz w:val="24"/>
          <w:szCs w:val="24"/>
          <w:lang w:eastAsia="ru-RU"/>
        </w:rPr>
        <w:t>целях обеспечения единого</w:t>
      </w:r>
      <w:r w:rsidR="00D0138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D01385" w:rsidRPr="00D01385">
        <w:rPr>
          <w:rFonts w:ascii="Tahoma" w:eastAsia="Times New Roman" w:hAnsi="Tahoma" w:cs="Tahoma"/>
          <w:sz w:val="24"/>
          <w:szCs w:val="24"/>
          <w:lang w:eastAsia="ru-RU"/>
        </w:rPr>
        <w:t>подхода к решению вопросов охраны труда, а также</w:t>
      </w:r>
      <w:r w:rsidRPr="00D01385">
        <w:rPr>
          <w:rFonts w:ascii="Tahoma" w:eastAsia="Calibri" w:hAnsi="Tahoma" w:cs="Tahoma"/>
          <w:sz w:val="24"/>
          <w:szCs w:val="24"/>
        </w:rPr>
        <w:t xml:space="preserve"> привлечения трудо</w:t>
      </w:r>
      <w:r w:rsidR="00CB0681">
        <w:rPr>
          <w:rFonts w:ascii="Tahoma" w:eastAsia="Calibri" w:hAnsi="Tahoma" w:cs="Tahoma"/>
          <w:sz w:val="24"/>
          <w:szCs w:val="24"/>
        </w:rPr>
        <w:t>вого</w:t>
      </w:r>
      <w:bookmarkStart w:id="0" w:name="_GoBack"/>
      <w:bookmarkEnd w:id="0"/>
      <w:r w:rsidR="00CB0681">
        <w:rPr>
          <w:rFonts w:ascii="Tahoma" w:eastAsia="Calibri" w:hAnsi="Tahoma" w:cs="Tahoma"/>
          <w:sz w:val="24"/>
          <w:szCs w:val="24"/>
        </w:rPr>
        <w:t xml:space="preserve"> коллектива ООО «Норникель -</w:t>
      </w:r>
      <w:r w:rsidRPr="00D01385">
        <w:rPr>
          <w:rFonts w:ascii="Tahoma" w:eastAsia="Calibri" w:hAnsi="Tahoma" w:cs="Tahoma"/>
          <w:sz w:val="24"/>
          <w:szCs w:val="24"/>
        </w:rPr>
        <w:t xml:space="preserve"> ЕРП»</w:t>
      </w:r>
      <w:r w:rsidRPr="00D01385">
        <w:rPr>
          <w:rFonts w:ascii="Tahoma" w:eastAsia="Times New Roman" w:hAnsi="Tahoma" w:cs="Tahoma"/>
          <w:sz w:val="24"/>
          <w:szCs w:val="24"/>
          <w:lang w:eastAsia="ru-RU"/>
        </w:rPr>
        <w:t>, АО «ЕРП», АО «К</w:t>
      </w:r>
      <w:r w:rsidR="00C021A7">
        <w:rPr>
          <w:rFonts w:ascii="Tahoma" w:eastAsia="Times New Roman" w:hAnsi="Tahoma" w:cs="Tahoma"/>
          <w:sz w:val="24"/>
          <w:szCs w:val="24"/>
          <w:lang w:eastAsia="ru-RU"/>
        </w:rPr>
        <w:t>РП», АО «Лесосибирский порт</w:t>
      </w:r>
      <w:r w:rsidRPr="00D01385">
        <w:rPr>
          <w:rFonts w:ascii="Tahoma" w:eastAsia="Times New Roman" w:hAnsi="Tahoma" w:cs="Tahoma"/>
          <w:sz w:val="24"/>
          <w:szCs w:val="24"/>
          <w:lang w:eastAsia="ru-RU"/>
        </w:rPr>
        <w:t xml:space="preserve">» </w:t>
      </w:r>
      <w:r w:rsidRPr="00D01385">
        <w:rPr>
          <w:rFonts w:ascii="Tahoma" w:eastAsia="Calibri" w:hAnsi="Tahoma" w:cs="Tahoma"/>
          <w:sz w:val="24"/>
          <w:szCs w:val="24"/>
        </w:rPr>
        <w:t>к непосредственному участию в их решении</w:t>
      </w:r>
      <w:r w:rsidR="00D01385" w:rsidRPr="00D01385">
        <w:rPr>
          <w:rFonts w:ascii="Tahoma" w:eastAsia="Calibri" w:hAnsi="Tahoma" w:cs="Tahoma"/>
          <w:sz w:val="24"/>
          <w:szCs w:val="24"/>
        </w:rPr>
        <w:t>,</w:t>
      </w:r>
    </w:p>
    <w:p w14:paraId="6EC70B86" w14:textId="77777777" w:rsidR="003D6977" w:rsidRPr="00FC2A76" w:rsidRDefault="003D6977" w:rsidP="00BB4418">
      <w:pPr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</w:rPr>
      </w:pPr>
    </w:p>
    <w:p w14:paraId="6511F8FB" w14:textId="77777777" w:rsidR="003D6977" w:rsidRPr="00FC2A76" w:rsidRDefault="003D6977" w:rsidP="00BB4418">
      <w:pPr>
        <w:spacing w:after="0" w:line="240" w:lineRule="auto"/>
        <w:ind w:left="709"/>
        <w:jc w:val="both"/>
        <w:rPr>
          <w:rFonts w:ascii="Tahoma" w:hAnsi="Tahoma" w:cs="Tahoma"/>
          <w:b/>
          <w:sz w:val="24"/>
          <w:szCs w:val="24"/>
        </w:rPr>
      </w:pPr>
      <w:r w:rsidRPr="00FC2A76">
        <w:rPr>
          <w:rFonts w:ascii="Tahoma" w:hAnsi="Tahoma" w:cs="Tahoma"/>
          <w:b/>
          <w:sz w:val="24"/>
          <w:szCs w:val="24"/>
        </w:rPr>
        <w:t>ПРИКАЗЫВАЮ:</w:t>
      </w:r>
    </w:p>
    <w:p w14:paraId="7D89A533" w14:textId="77777777" w:rsidR="003D6977" w:rsidRPr="00FC2A76" w:rsidRDefault="003D6977" w:rsidP="00BB4418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14:paraId="24938493" w14:textId="49F2C9EB" w:rsidR="003D6977" w:rsidRPr="0054116E" w:rsidRDefault="003D6977" w:rsidP="004C2896">
      <w:pPr>
        <w:pStyle w:val="af2"/>
        <w:numPr>
          <w:ilvl w:val="0"/>
          <w:numId w:val="1"/>
        </w:numPr>
        <w:tabs>
          <w:tab w:val="clear" w:pos="360"/>
        </w:tabs>
        <w:spacing w:after="0" w:line="240" w:lineRule="auto"/>
        <w:ind w:left="709" w:right="-1" w:hanging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Утвердить и ввести в действие с даты </w:t>
      </w:r>
      <w:r w:rsidR="00C626AA">
        <w:rPr>
          <w:rFonts w:ascii="Tahoma" w:eastAsia="Times New Roman" w:hAnsi="Tahoma" w:cs="Tahoma"/>
          <w:sz w:val="24"/>
          <w:szCs w:val="24"/>
          <w:lang w:eastAsia="ru-RU"/>
        </w:rPr>
        <w:t>регистрации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настоящего приказа </w:t>
      </w:r>
      <w:r w:rsidR="00795041">
        <w:rPr>
          <w:rFonts w:ascii="Tahoma" w:eastAsia="Times New Roman" w:hAnsi="Tahoma" w:cs="Tahoma"/>
          <w:sz w:val="24"/>
          <w:szCs w:val="24"/>
          <w:lang w:eastAsia="ru-RU"/>
        </w:rPr>
        <w:t xml:space="preserve">новую редакцию 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П</w:t>
      </w:r>
      <w:r w:rsidR="00D01385" w:rsidRPr="0054116E">
        <w:rPr>
          <w:rFonts w:ascii="Tahoma" w:eastAsia="Times New Roman" w:hAnsi="Tahoma" w:cs="Tahoma"/>
          <w:sz w:val="24"/>
          <w:szCs w:val="24"/>
          <w:lang w:eastAsia="ru-RU"/>
        </w:rPr>
        <w:t>олитик</w:t>
      </w:r>
      <w:r w:rsidR="00795041">
        <w:rPr>
          <w:rFonts w:ascii="Tahoma" w:eastAsia="Times New Roman" w:hAnsi="Tahoma" w:cs="Tahoma"/>
          <w:sz w:val="24"/>
          <w:szCs w:val="24"/>
          <w:lang w:eastAsia="ru-RU"/>
        </w:rPr>
        <w:t>и</w:t>
      </w:r>
      <w:r w:rsidR="00D01385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в области охраны </w:t>
      </w:r>
      <w:r w:rsidR="00CB0681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труда </w:t>
      </w:r>
      <w:r w:rsidR="00D01385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и промышленной безопасности 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в ООО «Норникель - ЕРП»</w:t>
      </w:r>
      <w:r w:rsidR="00AF5540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(далее – Общество), а также в </w:t>
      </w:r>
      <w:r w:rsidR="004C2896" w:rsidRPr="0054116E">
        <w:rPr>
          <w:rFonts w:ascii="Tahoma" w:eastAsia="Times New Roman" w:hAnsi="Tahoma" w:cs="Tahoma"/>
          <w:sz w:val="24"/>
          <w:szCs w:val="24"/>
          <w:lang w:eastAsia="ru-RU"/>
        </w:rPr>
        <w:t>о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рганизациях, полномочия единоличного исполнительного органа которых переданы Обществу</w:t>
      </w:r>
      <w:r w:rsidR="004C2896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–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4C2896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АО «ЕРП», АО «КРП», АО «Лесосибирский порт» 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(далее – Организации), в соответствии с Приложением к настоящему приказу (далее – По</w:t>
      </w:r>
      <w:r w:rsidR="00BB4418" w:rsidRPr="0054116E">
        <w:rPr>
          <w:rFonts w:ascii="Tahoma" w:eastAsia="Times New Roman" w:hAnsi="Tahoma" w:cs="Tahoma"/>
          <w:sz w:val="24"/>
          <w:szCs w:val="24"/>
          <w:lang w:eastAsia="ru-RU"/>
        </w:rPr>
        <w:t>л</w:t>
      </w:r>
      <w:r w:rsidR="00D01385" w:rsidRPr="0054116E">
        <w:rPr>
          <w:rFonts w:ascii="Tahoma" w:eastAsia="Times New Roman" w:hAnsi="Tahoma" w:cs="Tahoma"/>
          <w:sz w:val="24"/>
          <w:szCs w:val="24"/>
          <w:lang w:eastAsia="ru-RU"/>
        </w:rPr>
        <w:t>и</w:t>
      </w:r>
      <w:r w:rsidR="00BB4418" w:rsidRPr="0054116E">
        <w:rPr>
          <w:rFonts w:ascii="Tahoma" w:eastAsia="Times New Roman" w:hAnsi="Tahoma" w:cs="Tahoma"/>
          <w:sz w:val="24"/>
          <w:szCs w:val="24"/>
          <w:lang w:eastAsia="ru-RU"/>
        </w:rPr>
        <w:t>т</w:t>
      </w:r>
      <w:r w:rsidR="00D01385" w:rsidRPr="0054116E">
        <w:rPr>
          <w:rFonts w:ascii="Tahoma" w:eastAsia="Times New Roman" w:hAnsi="Tahoma" w:cs="Tahoma"/>
          <w:sz w:val="24"/>
          <w:szCs w:val="24"/>
          <w:lang w:eastAsia="ru-RU"/>
        </w:rPr>
        <w:t>ика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).</w:t>
      </w:r>
    </w:p>
    <w:p w14:paraId="4A51B65F" w14:textId="77777777" w:rsidR="003D6977" w:rsidRPr="0054116E" w:rsidRDefault="003D6977" w:rsidP="00BB4418">
      <w:pPr>
        <w:spacing w:after="0" w:line="240" w:lineRule="auto"/>
        <w:ind w:left="709" w:hanging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0E1E6C1C" w14:textId="04883118" w:rsidR="00950F78" w:rsidRPr="0054116E" w:rsidRDefault="003D6977" w:rsidP="00F33A2B">
      <w:pPr>
        <w:pStyle w:val="af2"/>
        <w:numPr>
          <w:ilvl w:val="0"/>
          <w:numId w:val="12"/>
        </w:numPr>
        <w:spacing w:after="0" w:line="240" w:lineRule="auto"/>
        <w:ind w:hanging="72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Заместителю генерального директора по производству – Исполнительному директору АО «ЕРП» Грудинову Е.Е, Исполнительному директору АО «К</w:t>
      </w:r>
      <w:r w:rsidR="00C021A7" w:rsidRPr="0054116E">
        <w:rPr>
          <w:rFonts w:ascii="Tahoma" w:eastAsia="Times New Roman" w:hAnsi="Tahoma" w:cs="Tahoma"/>
          <w:sz w:val="24"/>
          <w:szCs w:val="24"/>
          <w:lang w:eastAsia="ru-RU"/>
        </w:rPr>
        <w:t>РП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» Немчину А.А., Исполнительному директору АО «</w:t>
      </w:r>
      <w:r w:rsidR="00C021A7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Лесосибирский порт» </w:t>
      </w:r>
      <w:proofErr w:type="spellStart"/>
      <w:r w:rsidR="00C021A7" w:rsidRPr="0054116E">
        <w:rPr>
          <w:rFonts w:ascii="Tahoma" w:eastAsia="Times New Roman" w:hAnsi="Tahoma" w:cs="Tahoma"/>
          <w:sz w:val="24"/>
          <w:szCs w:val="24"/>
          <w:lang w:eastAsia="ru-RU"/>
        </w:rPr>
        <w:t>Худышкину</w:t>
      </w:r>
      <w:proofErr w:type="spellEnd"/>
      <w:r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1A7FEC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="00C021A7" w:rsidRPr="0054116E">
        <w:rPr>
          <w:rFonts w:ascii="Tahoma" w:eastAsia="Times New Roman" w:hAnsi="Tahoma" w:cs="Tahoma"/>
          <w:sz w:val="24"/>
          <w:szCs w:val="24"/>
          <w:lang w:eastAsia="ru-RU"/>
        </w:rPr>
        <w:t>В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. и директорам филиалов АО «ЕРП»</w:t>
      </w:r>
      <w:r w:rsidR="00F33A2B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о</w:t>
      </w:r>
      <w:r w:rsidR="00950F78" w:rsidRPr="0054116E">
        <w:rPr>
          <w:rFonts w:ascii="Tahoma" w:eastAsia="Times New Roman" w:hAnsi="Tahoma" w:cs="Tahoma"/>
          <w:sz w:val="24"/>
          <w:szCs w:val="24"/>
          <w:lang w:eastAsia="ru-RU"/>
        </w:rPr>
        <w:t>рганизовать размещение Политики в доступных для</w:t>
      </w:r>
      <w:r w:rsidR="00F5266B">
        <w:rPr>
          <w:rFonts w:ascii="Tahoma" w:eastAsia="Times New Roman" w:hAnsi="Tahoma" w:cs="Tahoma"/>
          <w:sz w:val="24"/>
          <w:szCs w:val="24"/>
          <w:lang w:eastAsia="ru-RU"/>
        </w:rPr>
        <w:t xml:space="preserve"> ознакомления</w:t>
      </w:r>
      <w:r w:rsidR="00950F78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работн</w:t>
      </w:r>
      <w:r w:rsidR="00F33A2B" w:rsidRPr="0054116E">
        <w:rPr>
          <w:rFonts w:ascii="Tahoma" w:eastAsia="Times New Roman" w:hAnsi="Tahoma" w:cs="Tahoma"/>
          <w:sz w:val="24"/>
          <w:szCs w:val="24"/>
          <w:lang w:eastAsia="ru-RU"/>
        </w:rPr>
        <w:t>и</w:t>
      </w:r>
      <w:r w:rsidR="00950F78" w:rsidRPr="0054116E">
        <w:rPr>
          <w:rFonts w:ascii="Tahoma" w:eastAsia="Times New Roman" w:hAnsi="Tahoma" w:cs="Tahoma"/>
          <w:sz w:val="24"/>
          <w:szCs w:val="24"/>
          <w:lang w:eastAsia="ru-RU"/>
        </w:rPr>
        <w:t>к</w:t>
      </w:r>
      <w:r w:rsidR="00F5266B">
        <w:rPr>
          <w:rFonts w:ascii="Tahoma" w:eastAsia="Times New Roman" w:hAnsi="Tahoma" w:cs="Tahoma"/>
          <w:sz w:val="24"/>
          <w:szCs w:val="24"/>
          <w:lang w:eastAsia="ru-RU"/>
        </w:rPr>
        <w:t>ами</w:t>
      </w:r>
      <w:r w:rsidR="00950F78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местах.</w:t>
      </w:r>
    </w:p>
    <w:p w14:paraId="5CBDF7A6" w14:textId="03EC1125" w:rsidR="00F33A2B" w:rsidRPr="0054116E" w:rsidRDefault="00F33A2B" w:rsidP="00F33A2B">
      <w:pPr>
        <w:spacing w:after="0" w:line="240" w:lineRule="auto"/>
        <w:ind w:hanging="72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125A7762" w14:textId="77D0234F" w:rsidR="00F33A2B" w:rsidRPr="0054116E" w:rsidRDefault="00F33A2B" w:rsidP="00F33A2B">
      <w:pPr>
        <w:pStyle w:val="af2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Заместителю генерального директора по производству – Исполнительному директору АО «ЕРП» Грудинову Е.Е.</w:t>
      </w:r>
      <w:r w:rsidR="00717B20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, </w:t>
      </w:r>
      <w:r w:rsidR="00B7054E" w:rsidRPr="0054116E">
        <w:rPr>
          <w:rFonts w:ascii="Tahoma" w:eastAsia="Times New Roman" w:hAnsi="Tahoma" w:cs="Tahoma"/>
          <w:sz w:val="24"/>
          <w:szCs w:val="24"/>
          <w:lang w:eastAsia="ru-RU"/>
        </w:rPr>
        <w:t>И</w:t>
      </w:r>
      <w:r w:rsidR="00C626AA">
        <w:rPr>
          <w:rFonts w:ascii="Tahoma" w:eastAsia="Times New Roman" w:hAnsi="Tahoma" w:cs="Tahoma"/>
          <w:sz w:val="24"/>
          <w:szCs w:val="24"/>
          <w:lang w:eastAsia="ru-RU"/>
        </w:rPr>
        <w:t>сполнительному директору АО </w:t>
      </w:r>
      <w:r w:rsidR="00717B20" w:rsidRPr="0054116E">
        <w:rPr>
          <w:rFonts w:ascii="Tahoma" w:eastAsia="Times New Roman" w:hAnsi="Tahoma" w:cs="Tahoma"/>
          <w:sz w:val="24"/>
          <w:szCs w:val="24"/>
          <w:lang w:eastAsia="ru-RU"/>
        </w:rPr>
        <w:t>«К</w:t>
      </w:r>
      <w:r w:rsidR="00E25067" w:rsidRPr="0054116E">
        <w:rPr>
          <w:rFonts w:ascii="Tahoma" w:eastAsia="Times New Roman" w:hAnsi="Tahoma" w:cs="Tahoma"/>
          <w:sz w:val="24"/>
          <w:szCs w:val="24"/>
          <w:lang w:eastAsia="ru-RU"/>
        </w:rPr>
        <w:t>РП</w:t>
      </w:r>
      <w:r w:rsidR="00717B20" w:rsidRPr="0054116E">
        <w:rPr>
          <w:rFonts w:ascii="Tahoma" w:eastAsia="Times New Roman" w:hAnsi="Tahoma" w:cs="Tahoma"/>
          <w:sz w:val="24"/>
          <w:szCs w:val="24"/>
          <w:lang w:eastAsia="ru-RU"/>
        </w:rPr>
        <w:t>» Немчину А.А.</w:t>
      </w:r>
      <w:r w:rsidR="00E25067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, Исполнительному директору АО «Лесосибирский порт» </w:t>
      </w:r>
      <w:proofErr w:type="spellStart"/>
      <w:r w:rsidR="00E25067" w:rsidRPr="0054116E">
        <w:rPr>
          <w:rFonts w:ascii="Tahoma" w:eastAsia="Times New Roman" w:hAnsi="Tahoma" w:cs="Tahoma"/>
          <w:sz w:val="24"/>
          <w:szCs w:val="24"/>
          <w:lang w:eastAsia="ru-RU"/>
        </w:rPr>
        <w:t>Худышкину</w:t>
      </w:r>
      <w:proofErr w:type="spellEnd"/>
      <w:r w:rsidR="00E25067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1A7FEC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="00E25067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.В. 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>организовать размещение Политики на официальн</w:t>
      </w:r>
      <w:r w:rsidR="00717B20" w:rsidRPr="0054116E">
        <w:rPr>
          <w:rFonts w:ascii="Tahoma" w:eastAsia="Times New Roman" w:hAnsi="Tahoma" w:cs="Tahoma"/>
          <w:sz w:val="24"/>
          <w:szCs w:val="24"/>
          <w:lang w:eastAsia="ru-RU"/>
        </w:rPr>
        <w:t>ых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сайт</w:t>
      </w:r>
      <w:r w:rsidR="00717B20" w:rsidRPr="0054116E">
        <w:rPr>
          <w:rFonts w:ascii="Tahoma" w:eastAsia="Times New Roman" w:hAnsi="Tahoma" w:cs="Tahoma"/>
          <w:sz w:val="24"/>
          <w:szCs w:val="24"/>
          <w:lang w:eastAsia="ru-RU"/>
        </w:rPr>
        <w:t>ах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717B20" w:rsidRPr="0054116E">
        <w:rPr>
          <w:rFonts w:ascii="Tahoma" w:eastAsia="Times New Roman" w:hAnsi="Tahoma" w:cs="Tahoma"/>
          <w:sz w:val="24"/>
          <w:szCs w:val="24"/>
          <w:lang w:eastAsia="ru-RU"/>
        </w:rPr>
        <w:t>АО «ЕРП»</w:t>
      </w:r>
      <w:r w:rsidR="00E25067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, АО «КРП», </w:t>
      </w:r>
      <w:r w:rsidR="00717B20" w:rsidRPr="0054116E">
        <w:rPr>
          <w:rFonts w:ascii="Tahoma" w:eastAsia="Times New Roman" w:hAnsi="Tahoma" w:cs="Tahoma"/>
          <w:sz w:val="24"/>
          <w:szCs w:val="24"/>
          <w:lang w:eastAsia="ru-RU"/>
        </w:rPr>
        <w:t>АО «</w:t>
      </w:r>
      <w:r w:rsidR="00E25067" w:rsidRPr="0054116E">
        <w:rPr>
          <w:rFonts w:ascii="Tahoma" w:eastAsia="Times New Roman" w:hAnsi="Tahoma" w:cs="Tahoma"/>
          <w:sz w:val="24"/>
          <w:szCs w:val="24"/>
          <w:lang w:eastAsia="ru-RU"/>
        </w:rPr>
        <w:t>Лесосибирский</w:t>
      </w:r>
      <w:r w:rsidR="00717B20"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порт»</w:t>
      </w:r>
      <w:r w:rsidRPr="0054116E">
        <w:rPr>
          <w:rFonts w:ascii="Tahoma" w:eastAsia="Times New Roman" w:hAnsi="Tahoma" w:cs="Tahoma"/>
          <w:sz w:val="24"/>
          <w:szCs w:val="24"/>
          <w:lang w:eastAsia="ru-RU"/>
        </w:rPr>
        <w:t xml:space="preserve"> в информационно-телекоммуникационной сети «Интернет».</w:t>
      </w:r>
    </w:p>
    <w:p w14:paraId="5CF2BD29" w14:textId="77777777" w:rsidR="00E25067" w:rsidRPr="0054116E" w:rsidRDefault="00E25067" w:rsidP="00E25067">
      <w:pPr>
        <w:pStyle w:val="af2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7A42720C" w14:textId="77777777" w:rsidR="00C626AA" w:rsidRDefault="00C626AA" w:rsidP="001F73B4">
      <w:pPr>
        <w:pStyle w:val="af2"/>
        <w:numPr>
          <w:ilvl w:val="0"/>
          <w:numId w:val="12"/>
        </w:numPr>
        <w:spacing w:after="0" w:line="240" w:lineRule="auto"/>
        <w:ind w:hanging="72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С даты регистрации настоящего приказа считать утратившими силу распорядительные документы:</w:t>
      </w:r>
    </w:p>
    <w:p w14:paraId="3F27A4F7" w14:textId="20610146" w:rsidR="00C626AA" w:rsidRDefault="00C626AA" w:rsidP="00C626AA">
      <w:pPr>
        <w:pStyle w:val="af2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CF5F69" w:rsidRPr="00C626AA">
        <w:rPr>
          <w:rFonts w:ascii="Tahoma" w:eastAsia="Times New Roman" w:hAnsi="Tahoma" w:cs="Tahoma"/>
          <w:sz w:val="24"/>
          <w:szCs w:val="24"/>
          <w:lang w:eastAsia="ru-RU"/>
        </w:rPr>
        <w:t>№ НН-ЕРП/040-п</w:t>
      </w:r>
      <w:r w:rsidRPr="00C626AA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от </w:t>
      </w:r>
      <w:r w:rsidRPr="00C626AA">
        <w:rPr>
          <w:rFonts w:ascii="Tahoma" w:eastAsia="Times New Roman" w:hAnsi="Tahoma" w:cs="Tahoma"/>
          <w:sz w:val="24"/>
          <w:szCs w:val="24"/>
          <w:lang w:eastAsia="ru-RU"/>
        </w:rPr>
        <w:t>30.03.2020</w:t>
      </w:r>
      <w:r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14:paraId="3E018FB4" w14:textId="301FAEDC" w:rsidR="00E25067" w:rsidRPr="00C626AA" w:rsidRDefault="00C626AA" w:rsidP="00C626AA">
      <w:pPr>
        <w:pStyle w:val="af2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342E01" w:rsidRPr="00C626AA">
        <w:rPr>
          <w:rFonts w:ascii="Tahoma" w:hAnsi="Tahoma" w:cs="Tahoma"/>
          <w:sz w:val="24"/>
          <w:szCs w:val="24"/>
        </w:rPr>
        <w:t xml:space="preserve"> </w:t>
      </w:r>
      <w:r w:rsidR="00342E01" w:rsidRPr="00C626AA">
        <w:rPr>
          <w:rFonts w:ascii="Tahoma" w:eastAsia="Times New Roman" w:hAnsi="Tahoma" w:cs="Tahoma"/>
          <w:sz w:val="24"/>
          <w:szCs w:val="24"/>
          <w:lang w:eastAsia="ru-RU"/>
        </w:rPr>
        <w:t xml:space="preserve">№ ЛП/223-п </w:t>
      </w:r>
      <w:r w:rsidRPr="00C626AA">
        <w:rPr>
          <w:rFonts w:ascii="Tahoma" w:hAnsi="Tahoma" w:cs="Tahoma"/>
          <w:sz w:val="24"/>
          <w:szCs w:val="24"/>
        </w:rPr>
        <w:t xml:space="preserve">от </w:t>
      </w:r>
      <w:r>
        <w:rPr>
          <w:rFonts w:ascii="Tahoma" w:eastAsia="Times New Roman" w:hAnsi="Tahoma" w:cs="Tahoma"/>
          <w:sz w:val="24"/>
          <w:szCs w:val="24"/>
          <w:lang w:eastAsia="ru-RU"/>
        </w:rPr>
        <w:t>28.06.2021.</w:t>
      </w:r>
    </w:p>
    <w:p w14:paraId="70735599" w14:textId="77777777" w:rsidR="003D6977" w:rsidRPr="0054116E" w:rsidRDefault="003D6977" w:rsidP="00F33A2B">
      <w:pPr>
        <w:spacing w:after="0" w:line="240" w:lineRule="auto"/>
        <w:ind w:left="709" w:hanging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733A813F" w14:textId="71FE662C" w:rsidR="003D6977" w:rsidRPr="0054116E" w:rsidRDefault="003D6977" w:rsidP="00BB4418">
      <w:pPr>
        <w:pStyle w:val="af2"/>
        <w:numPr>
          <w:ilvl w:val="0"/>
          <w:numId w:val="12"/>
        </w:numPr>
        <w:spacing w:after="0" w:line="240" w:lineRule="auto"/>
        <w:ind w:hanging="720"/>
        <w:jc w:val="both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54116E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Контроль исполнения н</w:t>
      </w:r>
      <w:r w:rsidR="00C626AA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астоящего приказа возложить на З</w:t>
      </w:r>
      <w:r w:rsidRPr="0054116E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аместителя генерального директора по про</w:t>
      </w:r>
      <w:r w:rsidR="00E25067" w:rsidRPr="0054116E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мышленной безопасности и охране труда</w:t>
      </w:r>
      <w:r w:rsidRPr="0054116E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</w:t>
      </w:r>
      <w:r w:rsidR="00E25067" w:rsidRPr="0054116E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Орленко Н.М.</w:t>
      </w:r>
    </w:p>
    <w:p w14:paraId="267D3B95" w14:textId="77777777" w:rsidR="003D6977" w:rsidRPr="00401AA9" w:rsidRDefault="003D6977" w:rsidP="00BB4418">
      <w:pPr>
        <w:pStyle w:val="af2"/>
        <w:tabs>
          <w:tab w:val="left" w:pos="426"/>
        </w:tabs>
        <w:spacing w:after="0" w:line="240" w:lineRule="auto"/>
        <w:ind w:left="0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</w:p>
    <w:p w14:paraId="2D6399F9" w14:textId="77777777" w:rsidR="003D6977" w:rsidRDefault="003D6977" w:rsidP="00BB4418">
      <w:pPr>
        <w:pStyle w:val="af2"/>
        <w:tabs>
          <w:tab w:val="left" w:pos="426"/>
        </w:tabs>
        <w:spacing w:after="0" w:line="240" w:lineRule="auto"/>
        <w:ind w:left="0"/>
        <w:jc w:val="both"/>
        <w:rPr>
          <w:rFonts w:ascii="Tahoma" w:eastAsia="Calibri" w:hAnsi="Tahoma" w:cs="Tahoma"/>
          <w:sz w:val="24"/>
          <w:szCs w:val="24"/>
        </w:rPr>
      </w:pPr>
    </w:p>
    <w:p w14:paraId="6116ACF0" w14:textId="77777777" w:rsidR="003D6977" w:rsidRDefault="003D6977" w:rsidP="00BB4418">
      <w:pPr>
        <w:pStyle w:val="af2"/>
        <w:tabs>
          <w:tab w:val="left" w:pos="426"/>
        </w:tabs>
        <w:spacing w:after="0" w:line="240" w:lineRule="auto"/>
        <w:ind w:left="0"/>
        <w:jc w:val="both"/>
        <w:rPr>
          <w:rFonts w:ascii="Tahoma" w:eastAsia="Calibri" w:hAnsi="Tahoma" w:cs="Tahoma"/>
          <w:sz w:val="24"/>
          <w:szCs w:val="24"/>
        </w:rPr>
      </w:pPr>
    </w:p>
    <w:p w14:paraId="158C247D" w14:textId="5690D930" w:rsidR="00B73673" w:rsidRPr="00B73673" w:rsidRDefault="003D6977" w:rsidP="00B573C7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FC2A76">
        <w:rPr>
          <w:rFonts w:ascii="Tahoma" w:hAnsi="Tahoma" w:cs="Tahoma"/>
          <w:b/>
          <w:sz w:val="24"/>
          <w:szCs w:val="24"/>
        </w:rPr>
        <w:t>Генеральный директор</w:t>
      </w:r>
      <w:r w:rsidRPr="00FC2A76">
        <w:rPr>
          <w:rFonts w:ascii="Tahoma" w:hAnsi="Tahoma" w:cs="Tahoma"/>
          <w:b/>
          <w:sz w:val="24"/>
          <w:szCs w:val="24"/>
        </w:rPr>
        <w:tab/>
      </w:r>
      <w:r w:rsidRPr="00FC2A76">
        <w:rPr>
          <w:rFonts w:ascii="Tahoma" w:hAnsi="Tahoma" w:cs="Tahoma"/>
          <w:b/>
          <w:sz w:val="24"/>
          <w:szCs w:val="24"/>
        </w:rPr>
        <w:tab/>
      </w:r>
      <w:r w:rsidRPr="00FC2A76">
        <w:rPr>
          <w:rFonts w:ascii="Tahoma" w:hAnsi="Tahoma" w:cs="Tahoma"/>
          <w:b/>
          <w:sz w:val="24"/>
          <w:szCs w:val="24"/>
        </w:rPr>
        <w:tab/>
      </w:r>
      <w:r w:rsidRPr="00FC2A76">
        <w:rPr>
          <w:rFonts w:ascii="Tahoma" w:hAnsi="Tahoma" w:cs="Tahoma"/>
          <w:b/>
          <w:sz w:val="24"/>
          <w:szCs w:val="24"/>
        </w:rPr>
        <w:tab/>
      </w:r>
      <w:r w:rsidRPr="00FC2A76">
        <w:rPr>
          <w:rFonts w:ascii="Tahoma" w:hAnsi="Tahoma" w:cs="Tahoma"/>
          <w:b/>
          <w:sz w:val="24"/>
          <w:szCs w:val="24"/>
        </w:rPr>
        <w:tab/>
      </w:r>
      <w:r w:rsidRPr="00FC2A76">
        <w:rPr>
          <w:rFonts w:ascii="Tahoma" w:hAnsi="Tahoma" w:cs="Tahoma"/>
          <w:b/>
          <w:sz w:val="24"/>
          <w:szCs w:val="24"/>
        </w:rPr>
        <w:tab/>
        <w:t xml:space="preserve">      О.</w:t>
      </w:r>
      <w:r w:rsidR="00B573C7">
        <w:rPr>
          <w:rFonts w:ascii="Tahoma" w:hAnsi="Tahoma" w:cs="Tahoma"/>
          <w:b/>
          <w:sz w:val="24"/>
          <w:szCs w:val="24"/>
        </w:rPr>
        <w:t>В</w:t>
      </w:r>
      <w:r w:rsidRPr="00FC2A76">
        <w:rPr>
          <w:rFonts w:ascii="Tahoma" w:hAnsi="Tahoma" w:cs="Tahoma"/>
          <w:b/>
          <w:sz w:val="24"/>
          <w:szCs w:val="24"/>
        </w:rPr>
        <w:t>.</w:t>
      </w:r>
      <w:r w:rsidR="00B573C7">
        <w:rPr>
          <w:rFonts w:ascii="Tahoma" w:hAnsi="Tahoma" w:cs="Tahoma"/>
          <w:b/>
          <w:sz w:val="24"/>
          <w:szCs w:val="24"/>
        </w:rPr>
        <w:t xml:space="preserve"> Ксанф</w:t>
      </w:r>
    </w:p>
    <w:p w14:paraId="0EE5558C" w14:textId="64FAE2C7" w:rsidR="00352BCC" w:rsidRPr="00352BCC" w:rsidRDefault="00352BCC" w:rsidP="00F33A2B">
      <w:pPr>
        <w:spacing w:after="0" w:line="276" w:lineRule="auto"/>
        <w:rPr>
          <w:rFonts w:ascii="Tahoma" w:eastAsia="Calibri" w:hAnsi="Tahoma" w:cs="Tahoma"/>
          <w:sz w:val="26"/>
          <w:szCs w:val="26"/>
        </w:rPr>
      </w:pPr>
    </w:p>
    <w:p w14:paraId="4E0B8D10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C2F71AF" w14:textId="6AEBCE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3291C5E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B321B2A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C48EC01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492C2B8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D44FD50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AB6B244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DE1AA20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5487C26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8CF6E48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8C6AE00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90E1AC7" w14:textId="77777777" w:rsidR="00B73673" w:rsidRPr="00B73673" w:rsidRDefault="00B73673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E2CF2E1" w14:textId="6D6E6B3E" w:rsidR="00F33A2B" w:rsidRDefault="00F33A2B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8484FBC" w14:textId="77777777" w:rsidR="00F33A2B" w:rsidRDefault="00F33A2B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C18522B" w14:textId="77777777" w:rsidR="00CB0681" w:rsidRDefault="00CB0681" w:rsidP="00B73673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94E6C34" w14:textId="4927B504" w:rsidR="00F33A2B" w:rsidRPr="00CB0681" w:rsidRDefault="00F33A2B" w:rsidP="00B73673">
      <w:pPr>
        <w:spacing w:after="200" w:line="276" w:lineRule="auto"/>
        <w:rPr>
          <w:rFonts w:ascii="Tahoma" w:eastAsia="Times New Roman" w:hAnsi="Tahoma" w:cs="Tahoma"/>
          <w:lang w:eastAsia="ru-RU"/>
        </w:rPr>
      </w:pPr>
      <w:r w:rsidRPr="00CB0681">
        <w:rPr>
          <w:rFonts w:ascii="Tahoma" w:eastAsia="Times New Roman" w:hAnsi="Tahoma" w:cs="Tahoma"/>
          <w:lang w:eastAsia="ru-RU"/>
        </w:rPr>
        <w:t>Коношонок М.В., 252-72-69</w:t>
      </w:r>
    </w:p>
    <w:sectPr w:rsidR="00F33A2B" w:rsidRPr="00CB0681">
      <w:footerReference w:type="default" r:id="rId10"/>
      <w:pgSz w:w="11906" w:h="16838"/>
      <w:pgMar w:top="1134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3FE88" w14:textId="77777777" w:rsidR="00374201" w:rsidRDefault="00374201">
      <w:pPr>
        <w:spacing w:after="0" w:line="240" w:lineRule="auto"/>
      </w:pPr>
      <w:r>
        <w:separator/>
      </w:r>
    </w:p>
  </w:endnote>
  <w:endnote w:type="continuationSeparator" w:id="0">
    <w:p w14:paraId="77C91F9D" w14:textId="77777777" w:rsidR="00374201" w:rsidRDefault="00374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545750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495403C3" w14:textId="0F927D43" w:rsidR="00C626AA" w:rsidRPr="00C626AA" w:rsidRDefault="00C626AA">
        <w:pPr>
          <w:pStyle w:val="ad"/>
          <w:jc w:val="right"/>
          <w:rPr>
            <w:rFonts w:ascii="Tahoma" w:hAnsi="Tahoma" w:cs="Tahoma"/>
          </w:rPr>
        </w:pPr>
        <w:r w:rsidRPr="00C626AA">
          <w:rPr>
            <w:rFonts w:ascii="Tahoma" w:hAnsi="Tahoma" w:cs="Tahoma"/>
          </w:rPr>
          <w:fldChar w:fldCharType="begin"/>
        </w:r>
        <w:r w:rsidRPr="00C626AA">
          <w:rPr>
            <w:rFonts w:ascii="Tahoma" w:hAnsi="Tahoma" w:cs="Tahoma"/>
          </w:rPr>
          <w:instrText>PAGE   \* MERGEFORMAT</w:instrText>
        </w:r>
        <w:r w:rsidRPr="00C626AA">
          <w:rPr>
            <w:rFonts w:ascii="Tahoma" w:hAnsi="Tahoma" w:cs="Tahoma"/>
          </w:rPr>
          <w:fldChar w:fldCharType="separate"/>
        </w:r>
        <w:r w:rsidR="00937E22">
          <w:rPr>
            <w:rFonts w:ascii="Tahoma" w:hAnsi="Tahoma" w:cs="Tahoma"/>
            <w:noProof/>
          </w:rPr>
          <w:t>2</w:t>
        </w:r>
        <w:r w:rsidRPr="00C626AA">
          <w:rPr>
            <w:rFonts w:ascii="Tahoma" w:hAnsi="Tahoma" w:cs="Tahoma"/>
          </w:rPr>
          <w:fldChar w:fldCharType="end"/>
        </w:r>
      </w:p>
    </w:sdtContent>
  </w:sdt>
  <w:p w14:paraId="34B5B5E3" w14:textId="77777777" w:rsidR="006D7105" w:rsidRDefault="006D710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6A692" w14:textId="77777777" w:rsidR="00374201" w:rsidRDefault="00374201">
      <w:pPr>
        <w:spacing w:after="0" w:line="240" w:lineRule="auto"/>
      </w:pPr>
      <w:r>
        <w:separator/>
      </w:r>
    </w:p>
  </w:footnote>
  <w:footnote w:type="continuationSeparator" w:id="0">
    <w:p w14:paraId="73B3DA34" w14:textId="77777777" w:rsidR="00374201" w:rsidRDefault="00374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12D8"/>
    <w:multiLevelType w:val="multilevel"/>
    <w:tmpl w:val="F048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62" w:hanging="2520"/>
      </w:pPr>
      <w:rPr>
        <w:rFonts w:hint="default"/>
      </w:rPr>
    </w:lvl>
  </w:abstractNum>
  <w:abstractNum w:abstractNumId="1" w15:restartNumberingAfterBreak="0">
    <w:nsid w:val="09954F4A"/>
    <w:multiLevelType w:val="hybridMultilevel"/>
    <w:tmpl w:val="66F672F0"/>
    <w:lvl w:ilvl="0" w:tplc="4B14BDF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80105"/>
    <w:multiLevelType w:val="multilevel"/>
    <w:tmpl w:val="475E4B4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F60EDE"/>
    <w:multiLevelType w:val="multilevel"/>
    <w:tmpl w:val="CF56AD38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4" w:hanging="2520"/>
      </w:pPr>
      <w:rPr>
        <w:rFonts w:hint="default"/>
      </w:rPr>
    </w:lvl>
  </w:abstractNum>
  <w:abstractNum w:abstractNumId="4" w15:restartNumberingAfterBreak="0">
    <w:nsid w:val="32FE7E1A"/>
    <w:multiLevelType w:val="hybridMultilevel"/>
    <w:tmpl w:val="20FCD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37DEE"/>
    <w:multiLevelType w:val="hybridMultilevel"/>
    <w:tmpl w:val="6090E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D1E8A"/>
    <w:multiLevelType w:val="hybridMultilevel"/>
    <w:tmpl w:val="06CAC6BC"/>
    <w:lvl w:ilvl="0" w:tplc="50BA787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1764213"/>
    <w:multiLevelType w:val="multilevel"/>
    <w:tmpl w:val="EDE89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6B457FD0"/>
    <w:multiLevelType w:val="multilevel"/>
    <w:tmpl w:val="394A469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72E04E2B"/>
    <w:multiLevelType w:val="multilevel"/>
    <w:tmpl w:val="72E04E2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86"/>
        </w:tabs>
        <w:ind w:left="786" w:hanging="360"/>
      </w:pPr>
      <w:rPr>
        <w:rFonts w:hint="default"/>
        <w:color w:val="000000" w:themeColor="text1"/>
      </w:rPr>
    </w:lvl>
    <w:lvl w:ilvl="2">
      <w:start w:val="1"/>
      <w:numFmt w:val="bullet"/>
      <w:lvlText w:val=""/>
      <w:lvlJc w:val="left"/>
      <w:pPr>
        <w:tabs>
          <w:tab w:val="left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73E61D24"/>
    <w:multiLevelType w:val="multilevel"/>
    <w:tmpl w:val="9AE83204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isLgl/>
      <w:lvlText w:val="%1.%2."/>
      <w:lvlJc w:val="left"/>
      <w:pPr>
        <w:ind w:left="1712" w:hanging="720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num w:numId="1">
    <w:abstractNumId w:val="9"/>
  </w:num>
  <w:num w:numId="2">
    <w:abstractNumId w:val="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8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2924"/>
    <w:rsid w:val="0002498A"/>
    <w:rsid w:val="00030A96"/>
    <w:rsid w:val="00034F95"/>
    <w:rsid w:val="000357FF"/>
    <w:rsid w:val="00043B8B"/>
    <w:rsid w:val="000536B1"/>
    <w:rsid w:val="00064ABD"/>
    <w:rsid w:val="000759B0"/>
    <w:rsid w:val="0007632E"/>
    <w:rsid w:val="000771A7"/>
    <w:rsid w:val="00081905"/>
    <w:rsid w:val="00086B87"/>
    <w:rsid w:val="000968E1"/>
    <w:rsid w:val="000A028A"/>
    <w:rsid w:val="000A292D"/>
    <w:rsid w:val="000B3EDF"/>
    <w:rsid w:val="000C35EA"/>
    <w:rsid w:val="000C4ADB"/>
    <w:rsid w:val="000E0FB7"/>
    <w:rsid w:val="000E1F6D"/>
    <w:rsid w:val="000E3C99"/>
    <w:rsid w:val="000E3CC7"/>
    <w:rsid w:val="000E45B3"/>
    <w:rsid w:val="000F03DC"/>
    <w:rsid w:val="000F12A5"/>
    <w:rsid w:val="000F4250"/>
    <w:rsid w:val="000F488B"/>
    <w:rsid w:val="00105F42"/>
    <w:rsid w:val="0010699C"/>
    <w:rsid w:val="0011153C"/>
    <w:rsid w:val="00116927"/>
    <w:rsid w:val="00123425"/>
    <w:rsid w:val="001311AA"/>
    <w:rsid w:val="00132C63"/>
    <w:rsid w:val="001344D1"/>
    <w:rsid w:val="001347A6"/>
    <w:rsid w:val="00136BB5"/>
    <w:rsid w:val="001374A0"/>
    <w:rsid w:val="00152DAF"/>
    <w:rsid w:val="001620A8"/>
    <w:rsid w:val="0017161C"/>
    <w:rsid w:val="001764FF"/>
    <w:rsid w:val="001926F9"/>
    <w:rsid w:val="001A5ADA"/>
    <w:rsid w:val="001A7FEC"/>
    <w:rsid w:val="001C0DBD"/>
    <w:rsid w:val="001C3FF7"/>
    <w:rsid w:val="001C570E"/>
    <w:rsid w:val="001C7DC3"/>
    <w:rsid w:val="001E277C"/>
    <w:rsid w:val="001E5E86"/>
    <w:rsid w:val="001E7794"/>
    <w:rsid w:val="001F51CA"/>
    <w:rsid w:val="001F73B4"/>
    <w:rsid w:val="00203294"/>
    <w:rsid w:val="002072F8"/>
    <w:rsid w:val="00210764"/>
    <w:rsid w:val="00211ABD"/>
    <w:rsid w:val="002235AD"/>
    <w:rsid w:val="00223C63"/>
    <w:rsid w:val="00235AD2"/>
    <w:rsid w:val="00241EDB"/>
    <w:rsid w:val="0025341F"/>
    <w:rsid w:val="00253701"/>
    <w:rsid w:val="0025695F"/>
    <w:rsid w:val="00260B91"/>
    <w:rsid w:val="0026157D"/>
    <w:rsid w:val="00272745"/>
    <w:rsid w:val="00275068"/>
    <w:rsid w:val="002767AA"/>
    <w:rsid w:val="00290E03"/>
    <w:rsid w:val="00297011"/>
    <w:rsid w:val="002B1771"/>
    <w:rsid w:val="002B1C1E"/>
    <w:rsid w:val="002D1DA3"/>
    <w:rsid w:val="002D6029"/>
    <w:rsid w:val="002D72DE"/>
    <w:rsid w:val="002E2EA7"/>
    <w:rsid w:val="002E4638"/>
    <w:rsid w:val="002F76F6"/>
    <w:rsid w:val="00302BB0"/>
    <w:rsid w:val="00303775"/>
    <w:rsid w:val="0031463C"/>
    <w:rsid w:val="003158BC"/>
    <w:rsid w:val="003170B2"/>
    <w:rsid w:val="00324F81"/>
    <w:rsid w:val="003325E8"/>
    <w:rsid w:val="003347F8"/>
    <w:rsid w:val="00334B21"/>
    <w:rsid w:val="00336A1E"/>
    <w:rsid w:val="00337F6C"/>
    <w:rsid w:val="00342E01"/>
    <w:rsid w:val="00352BCC"/>
    <w:rsid w:val="003539F0"/>
    <w:rsid w:val="00357DFB"/>
    <w:rsid w:val="00365627"/>
    <w:rsid w:val="00374201"/>
    <w:rsid w:val="0037513D"/>
    <w:rsid w:val="003759E9"/>
    <w:rsid w:val="00375B23"/>
    <w:rsid w:val="00377C83"/>
    <w:rsid w:val="00385931"/>
    <w:rsid w:val="00385A4F"/>
    <w:rsid w:val="003906E1"/>
    <w:rsid w:val="003915FD"/>
    <w:rsid w:val="003947FD"/>
    <w:rsid w:val="003A5D7A"/>
    <w:rsid w:val="003C0BF0"/>
    <w:rsid w:val="003C2DE3"/>
    <w:rsid w:val="003C686B"/>
    <w:rsid w:val="003D02E6"/>
    <w:rsid w:val="003D0A45"/>
    <w:rsid w:val="003D6977"/>
    <w:rsid w:val="003E0DBB"/>
    <w:rsid w:val="003F759C"/>
    <w:rsid w:val="00414AB1"/>
    <w:rsid w:val="00414FCB"/>
    <w:rsid w:val="004257E6"/>
    <w:rsid w:val="004274AB"/>
    <w:rsid w:val="00432148"/>
    <w:rsid w:val="00444BB8"/>
    <w:rsid w:val="00453E3D"/>
    <w:rsid w:val="00457695"/>
    <w:rsid w:val="00462E60"/>
    <w:rsid w:val="00466084"/>
    <w:rsid w:val="00466D75"/>
    <w:rsid w:val="00467DA2"/>
    <w:rsid w:val="00484D50"/>
    <w:rsid w:val="00485D9D"/>
    <w:rsid w:val="004908F6"/>
    <w:rsid w:val="00491144"/>
    <w:rsid w:val="004956BC"/>
    <w:rsid w:val="004A0BDB"/>
    <w:rsid w:val="004A6B82"/>
    <w:rsid w:val="004A729C"/>
    <w:rsid w:val="004B4406"/>
    <w:rsid w:val="004B50B2"/>
    <w:rsid w:val="004B7C79"/>
    <w:rsid w:val="004C2896"/>
    <w:rsid w:val="004C3749"/>
    <w:rsid w:val="004C5B6B"/>
    <w:rsid w:val="004C73F1"/>
    <w:rsid w:val="004D132A"/>
    <w:rsid w:val="004E1CE0"/>
    <w:rsid w:val="004F19F9"/>
    <w:rsid w:val="00500ADA"/>
    <w:rsid w:val="00506E95"/>
    <w:rsid w:val="0051461D"/>
    <w:rsid w:val="00520246"/>
    <w:rsid w:val="005211E9"/>
    <w:rsid w:val="00523EA1"/>
    <w:rsid w:val="005259AA"/>
    <w:rsid w:val="00527F99"/>
    <w:rsid w:val="0053330B"/>
    <w:rsid w:val="0054116E"/>
    <w:rsid w:val="00541870"/>
    <w:rsid w:val="00542FC4"/>
    <w:rsid w:val="00546CB5"/>
    <w:rsid w:val="00550806"/>
    <w:rsid w:val="00550B97"/>
    <w:rsid w:val="00557ED4"/>
    <w:rsid w:val="00560592"/>
    <w:rsid w:val="0056067B"/>
    <w:rsid w:val="00564A64"/>
    <w:rsid w:val="00576B8C"/>
    <w:rsid w:val="00585D70"/>
    <w:rsid w:val="00586671"/>
    <w:rsid w:val="005875F2"/>
    <w:rsid w:val="005926CE"/>
    <w:rsid w:val="00597A72"/>
    <w:rsid w:val="005A652C"/>
    <w:rsid w:val="005B3ED5"/>
    <w:rsid w:val="005B53AF"/>
    <w:rsid w:val="005B5431"/>
    <w:rsid w:val="005B7DD3"/>
    <w:rsid w:val="005C09A3"/>
    <w:rsid w:val="005C0C0D"/>
    <w:rsid w:val="005C106B"/>
    <w:rsid w:val="005C2EC0"/>
    <w:rsid w:val="005C429D"/>
    <w:rsid w:val="005C7B9F"/>
    <w:rsid w:val="005E00B0"/>
    <w:rsid w:val="005F0879"/>
    <w:rsid w:val="00603E30"/>
    <w:rsid w:val="00604E11"/>
    <w:rsid w:val="00605CC4"/>
    <w:rsid w:val="006158CB"/>
    <w:rsid w:val="00622615"/>
    <w:rsid w:val="00635B9D"/>
    <w:rsid w:val="0065529C"/>
    <w:rsid w:val="00663221"/>
    <w:rsid w:val="006748E3"/>
    <w:rsid w:val="0067654E"/>
    <w:rsid w:val="0067768C"/>
    <w:rsid w:val="00677A82"/>
    <w:rsid w:val="00683E38"/>
    <w:rsid w:val="00691650"/>
    <w:rsid w:val="00694964"/>
    <w:rsid w:val="006A1C3F"/>
    <w:rsid w:val="006A2BF1"/>
    <w:rsid w:val="006A3C6A"/>
    <w:rsid w:val="006A6DC9"/>
    <w:rsid w:val="006B1511"/>
    <w:rsid w:val="006B758E"/>
    <w:rsid w:val="006C211E"/>
    <w:rsid w:val="006C5CF1"/>
    <w:rsid w:val="006D5F10"/>
    <w:rsid w:val="006D7105"/>
    <w:rsid w:val="006E0A4C"/>
    <w:rsid w:val="006E35E0"/>
    <w:rsid w:val="006E60D3"/>
    <w:rsid w:val="006E7F1C"/>
    <w:rsid w:val="006F28ED"/>
    <w:rsid w:val="006F3327"/>
    <w:rsid w:val="006F525E"/>
    <w:rsid w:val="0070698E"/>
    <w:rsid w:val="00707F64"/>
    <w:rsid w:val="00710FC1"/>
    <w:rsid w:val="00711415"/>
    <w:rsid w:val="00717B20"/>
    <w:rsid w:val="007256F0"/>
    <w:rsid w:val="0075414A"/>
    <w:rsid w:val="00766024"/>
    <w:rsid w:val="00771B88"/>
    <w:rsid w:val="00774B73"/>
    <w:rsid w:val="00775906"/>
    <w:rsid w:val="00780D78"/>
    <w:rsid w:val="00781B99"/>
    <w:rsid w:val="00794A2B"/>
    <w:rsid w:val="00794C99"/>
    <w:rsid w:val="00795041"/>
    <w:rsid w:val="007B18A2"/>
    <w:rsid w:val="007B2537"/>
    <w:rsid w:val="007B40A5"/>
    <w:rsid w:val="007B54C1"/>
    <w:rsid w:val="007D0256"/>
    <w:rsid w:val="007D0F26"/>
    <w:rsid w:val="007D24BF"/>
    <w:rsid w:val="007D6230"/>
    <w:rsid w:val="007E2292"/>
    <w:rsid w:val="007E3258"/>
    <w:rsid w:val="007E7EFB"/>
    <w:rsid w:val="007F035A"/>
    <w:rsid w:val="007F5680"/>
    <w:rsid w:val="007F7004"/>
    <w:rsid w:val="008027F1"/>
    <w:rsid w:val="00803DA7"/>
    <w:rsid w:val="00806BF9"/>
    <w:rsid w:val="00806D8A"/>
    <w:rsid w:val="008179E5"/>
    <w:rsid w:val="00820EC2"/>
    <w:rsid w:val="00821EF1"/>
    <w:rsid w:val="00824DFE"/>
    <w:rsid w:val="00833375"/>
    <w:rsid w:val="00836A75"/>
    <w:rsid w:val="008407F4"/>
    <w:rsid w:val="00842799"/>
    <w:rsid w:val="00842ACF"/>
    <w:rsid w:val="0084530B"/>
    <w:rsid w:val="00847463"/>
    <w:rsid w:val="00851F55"/>
    <w:rsid w:val="00857F2E"/>
    <w:rsid w:val="00867A90"/>
    <w:rsid w:val="00881B0C"/>
    <w:rsid w:val="00886863"/>
    <w:rsid w:val="00886E24"/>
    <w:rsid w:val="00895D67"/>
    <w:rsid w:val="008978B3"/>
    <w:rsid w:val="008A74AE"/>
    <w:rsid w:val="008A7D67"/>
    <w:rsid w:val="008B3C85"/>
    <w:rsid w:val="008B725F"/>
    <w:rsid w:val="008C1D1F"/>
    <w:rsid w:val="008C1EDF"/>
    <w:rsid w:val="008C2239"/>
    <w:rsid w:val="008C237D"/>
    <w:rsid w:val="008C376B"/>
    <w:rsid w:val="008D4E8E"/>
    <w:rsid w:val="008E119C"/>
    <w:rsid w:val="008E7F52"/>
    <w:rsid w:val="009004EA"/>
    <w:rsid w:val="0090118C"/>
    <w:rsid w:val="00901F63"/>
    <w:rsid w:val="00913E7E"/>
    <w:rsid w:val="00917511"/>
    <w:rsid w:val="00917E59"/>
    <w:rsid w:val="009204A0"/>
    <w:rsid w:val="00931401"/>
    <w:rsid w:val="00937E22"/>
    <w:rsid w:val="00937E3F"/>
    <w:rsid w:val="00942847"/>
    <w:rsid w:val="009431CA"/>
    <w:rsid w:val="0094459A"/>
    <w:rsid w:val="00950F78"/>
    <w:rsid w:val="009540DA"/>
    <w:rsid w:val="00956540"/>
    <w:rsid w:val="00962637"/>
    <w:rsid w:val="00973784"/>
    <w:rsid w:val="00975B87"/>
    <w:rsid w:val="00975BC8"/>
    <w:rsid w:val="00991012"/>
    <w:rsid w:val="009A2B5B"/>
    <w:rsid w:val="009B15FF"/>
    <w:rsid w:val="009B4E5A"/>
    <w:rsid w:val="009C536C"/>
    <w:rsid w:val="009D037A"/>
    <w:rsid w:val="009D283E"/>
    <w:rsid w:val="009D2998"/>
    <w:rsid w:val="009D4423"/>
    <w:rsid w:val="009D7DB9"/>
    <w:rsid w:val="009E3DBC"/>
    <w:rsid w:val="009E4B1B"/>
    <w:rsid w:val="009F251A"/>
    <w:rsid w:val="009F38E0"/>
    <w:rsid w:val="009F60EF"/>
    <w:rsid w:val="00A20787"/>
    <w:rsid w:val="00A22BB2"/>
    <w:rsid w:val="00A24138"/>
    <w:rsid w:val="00A257C7"/>
    <w:rsid w:val="00A36FC8"/>
    <w:rsid w:val="00A37835"/>
    <w:rsid w:val="00A421A1"/>
    <w:rsid w:val="00A51000"/>
    <w:rsid w:val="00A56C75"/>
    <w:rsid w:val="00A60683"/>
    <w:rsid w:val="00A618E7"/>
    <w:rsid w:val="00A61BFD"/>
    <w:rsid w:val="00A62003"/>
    <w:rsid w:val="00A62700"/>
    <w:rsid w:val="00A72EF1"/>
    <w:rsid w:val="00A74F35"/>
    <w:rsid w:val="00A77F87"/>
    <w:rsid w:val="00A8064A"/>
    <w:rsid w:val="00A8143B"/>
    <w:rsid w:val="00A819A4"/>
    <w:rsid w:val="00A850B6"/>
    <w:rsid w:val="00A86EA9"/>
    <w:rsid w:val="00A9115E"/>
    <w:rsid w:val="00A93B2B"/>
    <w:rsid w:val="00A95A88"/>
    <w:rsid w:val="00AA4AFD"/>
    <w:rsid w:val="00AB2A10"/>
    <w:rsid w:val="00AD1E34"/>
    <w:rsid w:val="00AD552E"/>
    <w:rsid w:val="00AF14E3"/>
    <w:rsid w:val="00AF363B"/>
    <w:rsid w:val="00AF3EC3"/>
    <w:rsid w:val="00AF5540"/>
    <w:rsid w:val="00AF5984"/>
    <w:rsid w:val="00B01F95"/>
    <w:rsid w:val="00B034F2"/>
    <w:rsid w:val="00B10512"/>
    <w:rsid w:val="00B13E64"/>
    <w:rsid w:val="00B217C6"/>
    <w:rsid w:val="00B27A20"/>
    <w:rsid w:val="00B305FB"/>
    <w:rsid w:val="00B30D9F"/>
    <w:rsid w:val="00B3651A"/>
    <w:rsid w:val="00B365E7"/>
    <w:rsid w:val="00B366B7"/>
    <w:rsid w:val="00B55212"/>
    <w:rsid w:val="00B5708F"/>
    <w:rsid w:val="00B573C7"/>
    <w:rsid w:val="00B60636"/>
    <w:rsid w:val="00B6218D"/>
    <w:rsid w:val="00B636B5"/>
    <w:rsid w:val="00B7054E"/>
    <w:rsid w:val="00B72E4E"/>
    <w:rsid w:val="00B73673"/>
    <w:rsid w:val="00B901DA"/>
    <w:rsid w:val="00B9336E"/>
    <w:rsid w:val="00BA18F0"/>
    <w:rsid w:val="00BA1995"/>
    <w:rsid w:val="00BA6BF1"/>
    <w:rsid w:val="00BB22A1"/>
    <w:rsid w:val="00BB4418"/>
    <w:rsid w:val="00BB44A7"/>
    <w:rsid w:val="00BB71E3"/>
    <w:rsid w:val="00BC08C0"/>
    <w:rsid w:val="00BC0FFD"/>
    <w:rsid w:val="00BC34E3"/>
    <w:rsid w:val="00BC36BD"/>
    <w:rsid w:val="00BC3D67"/>
    <w:rsid w:val="00BC4838"/>
    <w:rsid w:val="00BD2F43"/>
    <w:rsid w:val="00BD480A"/>
    <w:rsid w:val="00BE1B46"/>
    <w:rsid w:val="00BF48DD"/>
    <w:rsid w:val="00BF54BE"/>
    <w:rsid w:val="00C021A7"/>
    <w:rsid w:val="00C07595"/>
    <w:rsid w:val="00C1440B"/>
    <w:rsid w:val="00C15D98"/>
    <w:rsid w:val="00C16F27"/>
    <w:rsid w:val="00C17528"/>
    <w:rsid w:val="00C2059B"/>
    <w:rsid w:val="00C2151F"/>
    <w:rsid w:val="00C21DFE"/>
    <w:rsid w:val="00C25CC0"/>
    <w:rsid w:val="00C32810"/>
    <w:rsid w:val="00C4063E"/>
    <w:rsid w:val="00C51104"/>
    <w:rsid w:val="00C5268A"/>
    <w:rsid w:val="00C53672"/>
    <w:rsid w:val="00C5460B"/>
    <w:rsid w:val="00C56391"/>
    <w:rsid w:val="00C61329"/>
    <w:rsid w:val="00C626AA"/>
    <w:rsid w:val="00C6301B"/>
    <w:rsid w:val="00C7678D"/>
    <w:rsid w:val="00C770D0"/>
    <w:rsid w:val="00C7733C"/>
    <w:rsid w:val="00C817D9"/>
    <w:rsid w:val="00C97EE4"/>
    <w:rsid w:val="00CA0C2F"/>
    <w:rsid w:val="00CA1F90"/>
    <w:rsid w:val="00CA2E47"/>
    <w:rsid w:val="00CA6EC6"/>
    <w:rsid w:val="00CA7681"/>
    <w:rsid w:val="00CB0681"/>
    <w:rsid w:val="00CC47B2"/>
    <w:rsid w:val="00CC581C"/>
    <w:rsid w:val="00CD5EAE"/>
    <w:rsid w:val="00CD711C"/>
    <w:rsid w:val="00CE2889"/>
    <w:rsid w:val="00CF0015"/>
    <w:rsid w:val="00CF2060"/>
    <w:rsid w:val="00CF4B57"/>
    <w:rsid w:val="00CF5F69"/>
    <w:rsid w:val="00D01385"/>
    <w:rsid w:val="00D10CAD"/>
    <w:rsid w:val="00D21A21"/>
    <w:rsid w:val="00D226A7"/>
    <w:rsid w:val="00D3053C"/>
    <w:rsid w:val="00D347B2"/>
    <w:rsid w:val="00D34B3C"/>
    <w:rsid w:val="00D40272"/>
    <w:rsid w:val="00D42330"/>
    <w:rsid w:val="00D42DA7"/>
    <w:rsid w:val="00D46A8F"/>
    <w:rsid w:val="00D56FB3"/>
    <w:rsid w:val="00D61F89"/>
    <w:rsid w:val="00D76D10"/>
    <w:rsid w:val="00D94D2A"/>
    <w:rsid w:val="00D95491"/>
    <w:rsid w:val="00D962FD"/>
    <w:rsid w:val="00DA57D1"/>
    <w:rsid w:val="00DA6732"/>
    <w:rsid w:val="00DB12C9"/>
    <w:rsid w:val="00DB4D4A"/>
    <w:rsid w:val="00DC210C"/>
    <w:rsid w:val="00DC486E"/>
    <w:rsid w:val="00DC4B4C"/>
    <w:rsid w:val="00DD0907"/>
    <w:rsid w:val="00DD241C"/>
    <w:rsid w:val="00DD30E2"/>
    <w:rsid w:val="00DD42B6"/>
    <w:rsid w:val="00DD4985"/>
    <w:rsid w:val="00DE0DD9"/>
    <w:rsid w:val="00DF4822"/>
    <w:rsid w:val="00DF6756"/>
    <w:rsid w:val="00E07BDB"/>
    <w:rsid w:val="00E12127"/>
    <w:rsid w:val="00E15E23"/>
    <w:rsid w:val="00E219BD"/>
    <w:rsid w:val="00E25067"/>
    <w:rsid w:val="00E25A32"/>
    <w:rsid w:val="00E277DC"/>
    <w:rsid w:val="00E3255D"/>
    <w:rsid w:val="00E366EE"/>
    <w:rsid w:val="00E3790B"/>
    <w:rsid w:val="00E37A1A"/>
    <w:rsid w:val="00E4080A"/>
    <w:rsid w:val="00E40D15"/>
    <w:rsid w:val="00E46A4C"/>
    <w:rsid w:val="00E52FC3"/>
    <w:rsid w:val="00E61044"/>
    <w:rsid w:val="00E6165F"/>
    <w:rsid w:val="00E62D75"/>
    <w:rsid w:val="00E6384B"/>
    <w:rsid w:val="00E7548F"/>
    <w:rsid w:val="00E7615F"/>
    <w:rsid w:val="00E82F66"/>
    <w:rsid w:val="00EA3114"/>
    <w:rsid w:val="00EA540A"/>
    <w:rsid w:val="00EB07EC"/>
    <w:rsid w:val="00EC03E1"/>
    <w:rsid w:val="00EC2B07"/>
    <w:rsid w:val="00EC5085"/>
    <w:rsid w:val="00ED0F6F"/>
    <w:rsid w:val="00ED642E"/>
    <w:rsid w:val="00EE2972"/>
    <w:rsid w:val="00EE6474"/>
    <w:rsid w:val="00F0367B"/>
    <w:rsid w:val="00F13A3D"/>
    <w:rsid w:val="00F2186D"/>
    <w:rsid w:val="00F220AE"/>
    <w:rsid w:val="00F224C8"/>
    <w:rsid w:val="00F24669"/>
    <w:rsid w:val="00F27801"/>
    <w:rsid w:val="00F27C77"/>
    <w:rsid w:val="00F3146B"/>
    <w:rsid w:val="00F3229F"/>
    <w:rsid w:val="00F33A2B"/>
    <w:rsid w:val="00F372E2"/>
    <w:rsid w:val="00F44E37"/>
    <w:rsid w:val="00F4708B"/>
    <w:rsid w:val="00F50A0A"/>
    <w:rsid w:val="00F52440"/>
    <w:rsid w:val="00F5266B"/>
    <w:rsid w:val="00F57845"/>
    <w:rsid w:val="00F603CD"/>
    <w:rsid w:val="00F72BA1"/>
    <w:rsid w:val="00F7566C"/>
    <w:rsid w:val="00F77A67"/>
    <w:rsid w:val="00F80DB6"/>
    <w:rsid w:val="00F93BCE"/>
    <w:rsid w:val="00FA0D21"/>
    <w:rsid w:val="00FA2D29"/>
    <w:rsid w:val="00FA5485"/>
    <w:rsid w:val="00FA570D"/>
    <w:rsid w:val="00FA640B"/>
    <w:rsid w:val="00FB0C79"/>
    <w:rsid w:val="00FB55A3"/>
    <w:rsid w:val="00FB5FB0"/>
    <w:rsid w:val="00FB7DF3"/>
    <w:rsid w:val="00FC1A49"/>
    <w:rsid w:val="00FC25FD"/>
    <w:rsid w:val="00FC2A76"/>
    <w:rsid w:val="00FC5897"/>
    <w:rsid w:val="00FC7252"/>
    <w:rsid w:val="00FC72F4"/>
    <w:rsid w:val="00FD5F32"/>
    <w:rsid w:val="00FF1DAB"/>
    <w:rsid w:val="00FF4FB5"/>
    <w:rsid w:val="18CD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B7B796B"/>
  <w15:docId w15:val="{E91BFCF1-E7B9-492B-82FF-65AFE4C4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3D"/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qFormat/>
    <w:rPr>
      <w:b/>
      <w:bCs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ody Text"/>
    <w:basedOn w:val="a"/>
    <w:link w:val="ac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f0">
    <w:name w:val="Hyperlink"/>
    <w:semiHidden/>
    <w:qFormat/>
    <w:rPr>
      <w:color w:val="0000FF"/>
      <w:u w:val="single"/>
    </w:rPr>
  </w:style>
  <w:style w:type="table" w:styleId="af1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customStyle="1" w:styleId="1">
    <w:name w:val="Рецензия1"/>
    <w:hidden/>
    <w:uiPriority w:val="99"/>
    <w:semiHidden/>
    <w:pPr>
      <w:spacing w:after="0" w:line="240" w:lineRule="auto"/>
    </w:pPr>
    <w:rPr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ae">
    <w:name w:val="Нижний колонтитул Знак"/>
    <w:basedOn w:val="a0"/>
    <w:link w:val="ad"/>
    <w:uiPriority w:val="99"/>
    <w:qFormat/>
  </w:style>
  <w:style w:type="table" w:customStyle="1" w:styleId="10">
    <w:name w:val="Сетка таблицы1"/>
    <w:basedOn w:val="a1"/>
    <w:next w:val="af1"/>
    <w:uiPriority w:val="39"/>
    <w:rsid w:val="00276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99"/>
    <w:rsid w:val="00603E30"/>
    <w:pPr>
      <w:spacing w:after="0" w:line="240" w:lineRule="auto"/>
    </w:pPr>
    <w:rPr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0E3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2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5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7BAA4D-4DB9-480E-B3F0-D44B7EB4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Соничев Александр Юрьевич</dc:creator>
  <cp:lastModifiedBy>Бусоль Елена Константиновна</cp:lastModifiedBy>
  <cp:revision>4</cp:revision>
  <cp:lastPrinted>2020-03-23T07:12:00Z</cp:lastPrinted>
  <dcterms:created xsi:type="dcterms:W3CDTF">2023-07-20T13:17:00Z</dcterms:created>
  <dcterms:modified xsi:type="dcterms:W3CDTF">2023-07-24T09:06:00Z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1049-11.2.0.8641</vt:lpwstr>
  </property>
</Properties>
</file>